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评分细则</w:t>
      </w:r>
    </w:p>
    <w:tbl>
      <w:tblPr>
        <w:tblStyle w:val="9"/>
        <w:tblW w:w="10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40"/>
        <w:gridCol w:w="720"/>
        <w:gridCol w:w="7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评审因素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7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清刻本悦宋简体" w:eastAsia="方正清刻本悦宋简体"/>
              </w:rPr>
            </w:pPr>
            <w:r>
              <w:rPr>
                <w:rFonts w:hint="eastAsia" w:ascii="方正清刻本悦宋简体" w:eastAsia="方正清刻本悦宋简体"/>
              </w:rPr>
              <w:t>价格部分（</w:t>
            </w:r>
            <w:r>
              <w:rPr>
                <w:rFonts w:hint="eastAsia" w:ascii="方正清刻本悦宋简体" w:eastAsia="方正清刻本悦宋简体"/>
                <w:lang w:val="en-US" w:eastAsia="zh-CN"/>
              </w:rPr>
              <w:t>40</w:t>
            </w:r>
            <w:r>
              <w:rPr>
                <w:rFonts w:hint="eastAsia" w:ascii="方正清刻本悦宋简体" w:eastAsia="方正清刻本悦宋简体"/>
              </w:rPr>
              <w:t>分）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line="320" w:lineRule="exact"/>
              <w:ind w:left="0" w:leftChars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cs="宋体"/>
                <w:sz w:val="21"/>
                <w:szCs w:val="21"/>
              </w:rPr>
              <w:t>分</w:t>
            </w:r>
          </w:p>
        </w:tc>
        <w:tc>
          <w:tcPr>
            <w:tcW w:w="7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1.基础</w:t>
            </w:r>
            <w:r>
              <w:rPr>
                <w:rFonts w:hint="eastAsia" w:ascii="宋体" w:hAnsi="宋体" w:cs="宋体"/>
                <w:szCs w:val="21"/>
              </w:rPr>
              <w:t>报价得分＝[ 1-（|磋商基准价-供应商报价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的基础报价</w:t>
            </w:r>
            <w:r>
              <w:rPr>
                <w:rFonts w:hint="eastAsia" w:ascii="宋体" w:hAnsi="宋体" w:cs="宋体"/>
                <w:szCs w:val="21"/>
              </w:rPr>
              <w:t>|）/磋商基准价]×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2.风险报价得分</w:t>
            </w:r>
            <w:r>
              <w:rPr>
                <w:rFonts w:hint="eastAsia" w:ascii="宋体" w:hAnsi="宋体" w:cs="宋体"/>
                <w:szCs w:val="21"/>
              </w:rPr>
              <w:t>＝[ 1-（|磋商基准风险比例-供应商报价的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风险比例</w:t>
            </w:r>
            <w:r>
              <w:rPr>
                <w:rFonts w:hint="eastAsia" w:ascii="宋体" w:hAnsi="宋体" w:cs="宋体"/>
                <w:szCs w:val="21"/>
              </w:rPr>
              <w:t>|）/磋商基准风险比例]×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磋商基准价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的计算：所有有效投标报价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的基础报价算数平均值下降5%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 xml:space="preserve">基准价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4.磋商基准风险比例：</w:t>
            </w:r>
            <w:r>
              <w:rPr>
                <w:rFonts w:hint="eastAsia" w:ascii="宋体" w:hAnsi="宋体" w:cs="宋体"/>
                <w:szCs w:val="21"/>
              </w:rPr>
              <w:t>所有有效投标报价的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风险比例</w:t>
            </w:r>
            <w:r>
              <w:rPr>
                <w:rFonts w:hint="eastAsia" w:ascii="宋体" w:hAnsi="宋体" w:cs="宋体"/>
                <w:szCs w:val="21"/>
              </w:rPr>
              <w:t>算数平均值为磋商基准风险比例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</w:rPr>
              <w:t>有效投标报价：按招标文件要求通过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资格性检查和符合性检查</w:t>
            </w:r>
            <w:r>
              <w:rPr>
                <w:rFonts w:hint="eastAsia" w:ascii="宋体" w:hAnsi="宋体" w:cs="宋体"/>
                <w:sz w:val="21"/>
                <w:szCs w:val="21"/>
              </w:rPr>
              <w:t>的投标人的报价为有效投标报价。</w:t>
            </w:r>
          </w:p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6.基础报价超过20万元的，为无效报价；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各供应商应在报价处注明，基础报价加风险收益总额最终超过100万元的，按照100万元结算，不响应此条款的，为无效报价。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方正清刻本悦宋简体" w:eastAsia="方正清刻本悦宋简体"/>
              </w:rPr>
            </w:pPr>
            <w:r>
              <w:rPr>
                <w:rFonts w:hint="eastAsia" w:ascii="方正清刻本悦宋简体" w:eastAsia="方正清刻本悦宋简体"/>
              </w:rPr>
              <w:t>技术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方正清刻本悦宋简体" w:eastAsia="方正清刻本悦宋简体"/>
              </w:rPr>
              <w:t>部分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方正清刻本悦宋简体" w:eastAsia="方正清刻本悦宋简体"/>
              </w:rPr>
              <w:t>（</w:t>
            </w:r>
            <w:r>
              <w:rPr>
                <w:rFonts w:hint="eastAsia" w:ascii="方正清刻本悦宋简体" w:eastAsia="方正清刻本悦宋简体"/>
                <w:lang w:val="en-US" w:eastAsia="zh-CN"/>
              </w:rPr>
              <w:t>30</w:t>
            </w:r>
            <w:r>
              <w:rPr>
                <w:rFonts w:hint="eastAsia" w:ascii="方正清刻本悦宋简体" w:eastAsia="方正清刻本悦宋简体"/>
              </w:rPr>
              <w:t>分）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服务实施方案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根据投标人编制的整体服务方案，包含完整的服务工作方案、案件处理方案和建议、工作流程安排等内容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1.整体服务方案及现场述标评价。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（此项评价为优秀得10-15分，良好得5—9分，一般得0—4分）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2.是否正确理解本项目设立背景、业务需求及相关法律法规的重点、难点。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（此项评价为优秀得3分，良好得2分，一般得0—1分）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3.项目各项实施措施思路清晰、科学有针对性；时间进度安排合理、可信服性强。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（此项评价为优秀得5分，良好得3—4分，一般得0—2分）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4.能够对项目顺利推进施加积极影响，安排有序。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（此项评价为优秀得5—7分，良好得3—4分，一般得0—2分）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部分（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团队律师配备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1.首席律师从业年限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（1）本项目主办团队首席律师执业年限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年以上，得3分；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0年，得2分；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年以下，得1分。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）本项目主办团队首席律师具备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国家发改委或国家财政部PPP项目库专家资格的，得4分，具备湖南省发改委或财政厅PPP项目库专家资格的，得3分，其他不得分。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2.拟派团队人员结构（3分）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能够组建不少于4人的律师作为责任律师团队，团队成员均为该律师事务所的在册专职律师，且团队中有2名以上律师具有10年以上律师执业经历的得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有2名以上律师具有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5年以上律师执业经历的得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前述情形择一认定，若均无，得0分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类似经验业绩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7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1.2020年以来本项目主办团队有PPP项目诉讼代理案例的，每个案例得5分，最高得10分；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相关证明材料需能证明系该首席律师主办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PPP项目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提供法律服务业绩的，每个服务合同得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分，最高得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分。相关证明材料需能证明系该首席律师主办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（以上须在投标文件中提供业绩合同复印件并加盖公章，未提供不计分。）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合计：</w:t>
            </w:r>
            <w:r>
              <w:rPr>
                <w:rFonts w:ascii="宋体" w:hAnsi="宋体" w:cs="宋体"/>
                <w:kern w:val="1"/>
                <w:szCs w:val="21"/>
              </w:rPr>
              <w:t>100</w:t>
            </w:r>
            <w:r>
              <w:rPr>
                <w:rFonts w:hint="eastAsia" w:ascii="宋体" w:hAnsi="宋体" w:cs="宋体"/>
                <w:kern w:val="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3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20" w:lineRule="exact"/>
              <w:rPr>
                <w:rFonts w:asci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</w:rPr>
              <w:t>以上要求提供的所有证明材料，投标人须对其真实性负责，如存在弄虚作假行为，一经发现，将作无效投标处理，并承担相应的法律责任。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03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00" w:lineRule="exact"/>
              <w:ind w:left="0" w:leftChars="0" w:firstLine="638" w:firstLineChars="304"/>
              <w:textAlignment w:val="auto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00" w:lineRule="exact"/>
              <w:ind w:left="0" w:leftChars="0" w:firstLine="638" w:firstLineChars="304"/>
              <w:textAlignment w:val="auto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1、每次评分计算保留2位小数（百分比亦取2位小数），第三位小数四舍五入。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00" w:lineRule="exact"/>
              <w:ind w:left="0" w:leftChars="0" w:firstLine="638" w:firstLineChars="304"/>
              <w:textAlignment w:val="auto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2、有下列情况之一者单项评分为无效分，评委须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作出解释</w:t>
            </w:r>
            <w:r>
              <w:rPr>
                <w:rFonts w:hint="eastAsia" w:ascii="宋体" w:hAnsi="宋体" w:cs="Times New Roman"/>
                <w:szCs w:val="21"/>
              </w:rPr>
              <w:t>，并重新打分：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00" w:lineRule="exact"/>
              <w:ind w:left="0" w:leftChars="0" w:firstLine="638" w:firstLineChars="304"/>
              <w:textAlignment w:val="auto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2.1评分高出规定最高分或低于规定最低分的；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00" w:lineRule="exact"/>
              <w:ind w:left="0" w:leftChars="0" w:firstLine="638" w:firstLineChars="304"/>
              <w:textAlignment w:val="auto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2.2一个计分内容有2个或2个以上计分的；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00" w:lineRule="exact"/>
              <w:ind w:left="0" w:leftChars="0" w:firstLine="638" w:firstLineChars="304"/>
              <w:textAlignment w:val="auto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2.3无记分；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00" w:lineRule="exact"/>
              <w:ind w:left="0" w:leftChars="0" w:firstLine="638" w:firstLineChars="304"/>
              <w:textAlignment w:val="auto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2.4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cs="Times New Roman"/>
                <w:szCs w:val="21"/>
              </w:rPr>
              <w:t>明显不合理记分。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638" w:firstLineChars="304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3、评分标准涉及要求提供复印件的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Cs w:val="21"/>
              </w:rPr>
              <w:t>须附相关证书和证明文件的复印件并加盖单位公章，否则相应计分项不予计分。</w:t>
            </w:r>
          </w:p>
        </w:tc>
      </w:tr>
    </w:tbl>
    <w:p>
      <w:pP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清刻本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DcxY2EzNjRhZWFkYjBiODJkMmJlZDE4NjlkM2IifQ=="/>
  </w:docVars>
  <w:rsids>
    <w:rsidRoot w:val="00000000"/>
    <w:rsid w:val="06A64F55"/>
    <w:rsid w:val="10DC5506"/>
    <w:rsid w:val="121C2E31"/>
    <w:rsid w:val="13F7572E"/>
    <w:rsid w:val="1F7B2A73"/>
    <w:rsid w:val="1FAE559C"/>
    <w:rsid w:val="22D75D0A"/>
    <w:rsid w:val="25516C2F"/>
    <w:rsid w:val="2BD32B77"/>
    <w:rsid w:val="2D1A2B4C"/>
    <w:rsid w:val="2D2A46F3"/>
    <w:rsid w:val="2EA65243"/>
    <w:rsid w:val="3A6A291D"/>
    <w:rsid w:val="508D5E0B"/>
    <w:rsid w:val="51894824"/>
    <w:rsid w:val="521F3DAB"/>
    <w:rsid w:val="53C0233A"/>
    <w:rsid w:val="5E3C56BE"/>
    <w:rsid w:val="6DE210EC"/>
    <w:rsid w:val="6F9E54E7"/>
    <w:rsid w:val="79112886"/>
    <w:rsid w:val="7EB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460" w:lineRule="exact"/>
      <w:ind w:firstLine="538" w:firstLineChars="192"/>
    </w:pPr>
    <w:rPr>
      <w:rFonts w:ascii="Calibri" w:hAnsi="宋体" w:eastAsia="宋体" w:cs="Times New Roman"/>
      <w:sz w:val="28"/>
      <w:szCs w:val="28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kern w:val="2"/>
      <w:sz w:val="21"/>
      <w:szCs w:val="24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kern w:val="2"/>
      <w:sz w:val="16"/>
      <w:szCs w:val="16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2254</Words>
  <Characters>2377</Characters>
  <Lines>0</Lines>
  <Paragraphs>0</Paragraphs>
  <TotalTime>6</TotalTime>
  <ScaleCrop>false</ScaleCrop>
  <LinksUpToDate>false</LinksUpToDate>
  <CharactersWithSpaces>2432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2023-06-08T08:15:00Z</dcterms:created>
  <dc:creator>法务</dc:creator>
  <cp:lastModifiedBy>Lenovo</cp:lastModifiedBy>
  <cp:lastPrinted>2023-06-09T09:41:00Z</cp:lastPrinted>
  <dcterms:modified xsi:type="dcterms:W3CDTF">2023-06-09T10:55:25Z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EE255054CBAC4FB9B25DF24470E5A55E</vt:lpwstr>
  </property>
</Properties>
</file>