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0DB6">
      <w:pPr>
        <w:spacing w:before="0"/>
        <w:ind w:right="0"/>
        <w:jc w:val="left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附件：</w:t>
      </w:r>
    </w:p>
    <w:p w14:paraId="359C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lang w:val="en-US" w:eastAsia="zh-Hans"/>
        </w:rPr>
        <w:t>三湘</w:t>
      </w:r>
      <w:r>
        <w:rPr>
          <w:rFonts w:hint="eastAsia" w:ascii="方正小标宋简体" w:hAnsi="Calibri" w:eastAsia="方正小标宋简体" w:cs="Times New Roman"/>
          <w:color w:val="000000"/>
          <w:sz w:val="36"/>
        </w:rPr>
        <w:t>集团</w:t>
      </w:r>
      <w:r>
        <w:rPr>
          <w:rFonts w:hint="eastAsia" w:ascii="方正小标宋简体" w:hAnsi="Calibri" w:eastAsia="方正小标宋简体" w:cs="Times New Roman"/>
          <w:color w:val="000000"/>
          <w:sz w:val="36"/>
          <w:lang w:val="en-US" w:eastAsia="zh-CN"/>
        </w:rPr>
        <w:t>2025年公开招聘财务管理</w:t>
      </w:r>
    </w:p>
    <w:p w14:paraId="1A58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36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</w:rPr>
        <w:t>岗位任职资格和岗位职责</w:t>
      </w:r>
    </w:p>
    <w:tbl>
      <w:tblPr>
        <w:tblStyle w:val="3"/>
        <w:tblW w:w="9557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67"/>
        <w:gridCol w:w="436"/>
        <w:gridCol w:w="601"/>
        <w:gridCol w:w="504"/>
        <w:gridCol w:w="3273"/>
        <w:gridCol w:w="3840"/>
      </w:tblGrid>
      <w:tr w14:paraId="11A0A748">
        <w:trPr>
          <w:trHeight w:val="78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C3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1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5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CB0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7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78D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9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C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4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</w:t>
            </w:r>
          </w:p>
        </w:tc>
      </w:tr>
      <w:tr w14:paraId="021CB879">
        <w:trPr>
          <w:trHeight w:val="697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综合管理部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1.教育背景：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会计、财务或相关专业本科及以上学历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持有HKICPA/ACCA等专业资格者优先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2.工作经验：至少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年财务工作经验，熟悉香港会计准则及税务法规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3.技能要求： 熟练使用办公软件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及一般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财务软件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。能独立完成从记账到报表、从报税到审计的整个财务循环。</w:t>
            </w:r>
          </w:p>
          <w:p w14:paraId="2463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4.语言要求：具有较强的英文和中文（包括普通话和粤语）口语和书写能力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5.个人素质：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极高的诚信度和职业道德，能够处理敏感和保密信息。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工作细致认真，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积极主动，责任心极强。出色的沟通能力和解决问题的能力，能够高效地与内外部各方沟通。</w:t>
            </w:r>
          </w:p>
          <w:p w14:paraId="0AC2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：无刑事犯罪纪录或不良出入境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等。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负责业务会计核算及账务处理工作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1E0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管理业务资金收支，包括日常出纳操作及银行往来业务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CAC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编制香港业务财务报表及税务申报档；与税务代表、审计师、评估师和税务局（IRD）联络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0F6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处理其他财务工作，包括但不限于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工资核准和强积金供款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及安排妥善归档和维护会计记录。</w:t>
            </w:r>
          </w:p>
          <w:p w14:paraId="2003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Calibri" w:hAnsi="Calibri" w:eastAsia="宋体" w:cs="Times New Roman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确保业务运作及财务操作符合本地会计准则及监管要求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协助优化公司业务财务流程及内部控制体系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TW" w:bidi="ar"/>
              </w:rPr>
              <w:t>完成领导交办的其他工作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0FAA0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3BD9"/>
    <w:rsid w:val="37DF3BD9"/>
    <w:rsid w:val="7EB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of figures1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2025-10-17T16:55:00Z</dcterms:created>
  <dc:creator>陈淑妹</dc:creator>
  <cp:lastModifiedBy>陈淑妹</cp:lastModifiedBy>
  <dcterms:modified xsi:type="dcterms:W3CDTF">2025-10-17T09:05:16Z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5F9EF18B2BC9A5274C96F16897854991_43</vt:lpwstr>
  </property>
</Properties>
</file>